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A9F0" w14:textId="77777777" w:rsidR="0027367E" w:rsidRDefault="0027367E" w:rsidP="0027367E">
      <w:pPr>
        <w:spacing w:after="0"/>
        <w:jc w:val="center"/>
      </w:pPr>
    </w:p>
    <w:p w14:paraId="1AAA7FB4" w14:textId="39193575" w:rsidR="0027367E" w:rsidRPr="0027367E" w:rsidRDefault="0027367E" w:rsidP="0027367E">
      <w:pPr>
        <w:spacing w:after="0"/>
        <w:jc w:val="center"/>
        <w:rPr>
          <w:rFonts w:ascii="Georgia" w:eastAsia="Georgia" w:hAnsi="Georgia" w:cs="Georgia"/>
          <w:b/>
          <w:bCs/>
        </w:rPr>
      </w:pPr>
      <w:r w:rsidRPr="0027367E">
        <w:rPr>
          <w:rFonts w:ascii="Georgia" w:eastAsia="Georgia" w:hAnsi="Georgia" w:cs="Georgia"/>
          <w:b/>
          <w:bCs/>
        </w:rPr>
        <w:t>Academy for College and Career Exploration</w:t>
      </w:r>
    </w:p>
    <w:p w14:paraId="3B60B2E6" w14:textId="473EC7D3" w:rsidR="0027367E" w:rsidRDefault="0027367E" w:rsidP="0027367E">
      <w:pPr>
        <w:spacing w:after="0"/>
        <w:jc w:val="center"/>
        <w:rPr>
          <w:rFonts w:ascii="Georgia" w:eastAsia="Georgia" w:hAnsi="Georgia" w:cs="Georgia"/>
          <w:b/>
          <w:bCs/>
        </w:rPr>
      </w:pPr>
      <w:r w:rsidRPr="0027367E">
        <w:rPr>
          <w:rFonts w:ascii="Georgia" w:eastAsia="Georgia" w:hAnsi="Georgia" w:cs="Georgia"/>
          <w:b/>
          <w:bCs/>
        </w:rPr>
        <w:t>Grading Policy</w:t>
      </w:r>
    </w:p>
    <w:p w14:paraId="4E84C55D" w14:textId="73B6197A" w:rsidR="00C0005E" w:rsidRPr="0027367E" w:rsidRDefault="00C0005E" w:rsidP="0027367E">
      <w:pPr>
        <w:spacing w:after="0"/>
        <w:jc w:val="center"/>
        <w:rPr>
          <w:rFonts w:ascii="Georgia" w:eastAsia="Georgia" w:hAnsi="Georgia" w:cs="Georgia"/>
          <w:b/>
          <w:bCs/>
        </w:rPr>
      </w:pPr>
      <w:r>
        <w:rPr>
          <w:rFonts w:ascii="Georgia" w:eastAsia="Georgia" w:hAnsi="Georgia" w:cs="Georgia"/>
          <w:b/>
          <w:bCs/>
        </w:rPr>
        <w:t>SY 2018-2019</w:t>
      </w:r>
    </w:p>
    <w:p w14:paraId="756B6503" w14:textId="3A40CB6F" w:rsidR="0027367E" w:rsidRDefault="0027367E" w:rsidP="0027367E">
      <w:pPr>
        <w:rPr>
          <w:rFonts w:ascii="Georgia" w:eastAsia="Georgia" w:hAnsi="Georgia" w:cs="Georgia"/>
        </w:rPr>
      </w:pPr>
    </w:p>
    <w:p w14:paraId="2E3F37F5" w14:textId="1B79ED23" w:rsidR="00C0005E" w:rsidRDefault="00C0005E" w:rsidP="00C0005E">
      <w:pPr>
        <w:ind w:right="-810" w:hanging="720"/>
        <w:rPr>
          <w:rFonts w:eastAsia="Times New Roman"/>
          <w:b/>
          <w:sz w:val="24"/>
          <w:u w:val="single"/>
        </w:rPr>
      </w:pPr>
      <w:r>
        <w:rPr>
          <w:rFonts w:eastAsia="Times New Roman"/>
          <w:b/>
          <w:sz w:val="24"/>
          <w:u w:val="single"/>
        </w:rPr>
        <w:t>GRADING</w:t>
      </w:r>
      <w:r>
        <w:rPr>
          <w:rFonts w:eastAsia="Times New Roman"/>
          <w:b/>
          <w:sz w:val="24"/>
          <w:u w:val="single"/>
        </w:rPr>
        <w:t xml:space="preserve"> (From Faculty Handbook)</w:t>
      </w:r>
    </w:p>
    <w:p w14:paraId="4A528879" w14:textId="77777777" w:rsidR="00C0005E" w:rsidRDefault="00C0005E" w:rsidP="00C0005E">
      <w:pPr>
        <w:ind w:right="-810" w:hanging="720"/>
        <w:rPr>
          <w:rFonts w:eastAsia="Times New Roman"/>
          <w:b/>
          <w:sz w:val="24"/>
        </w:rPr>
      </w:pPr>
    </w:p>
    <w:p w14:paraId="5B4A54F5" w14:textId="77777777" w:rsidR="00C0005E" w:rsidRDefault="00C0005E" w:rsidP="00C0005E">
      <w:pPr>
        <w:ind w:right="-810" w:hanging="720"/>
        <w:rPr>
          <w:rFonts w:eastAsia="Times New Roman"/>
          <w:b/>
          <w:sz w:val="24"/>
        </w:rPr>
      </w:pPr>
      <w:r>
        <w:rPr>
          <w:rFonts w:eastAsia="Times New Roman"/>
          <w:b/>
          <w:sz w:val="24"/>
        </w:rPr>
        <w:t>Grading Policy</w:t>
      </w:r>
    </w:p>
    <w:p w14:paraId="4DAA3463" w14:textId="77777777" w:rsidR="00C0005E" w:rsidRDefault="00C0005E" w:rsidP="00C0005E">
      <w:pPr>
        <w:shd w:val="clear" w:color="auto" w:fill="FFFFFF"/>
        <w:ind w:left="-720"/>
        <w:rPr>
          <w:sz w:val="24"/>
        </w:rPr>
      </w:pPr>
      <w:r>
        <w:rPr>
          <w:rFonts w:eastAsia="Times New Roman"/>
          <w:sz w:val="24"/>
        </w:rPr>
        <w:t>Students receive a letter and numeric grade for each course.  This grade is an average of the marks received during the quarter.</w:t>
      </w:r>
      <w:r>
        <w:rPr>
          <w:sz w:val="24"/>
        </w:rPr>
        <w:t xml:space="preserve">  A semester course grade is a combination of quarterly grades (80%) and a final exam (20%).</w:t>
      </w:r>
    </w:p>
    <w:p w14:paraId="15A89DB3" w14:textId="77777777" w:rsidR="00C0005E" w:rsidRDefault="00C0005E" w:rsidP="00C0005E">
      <w:pPr>
        <w:shd w:val="clear" w:color="auto" w:fill="FFFFFF"/>
        <w:ind w:left="-720"/>
        <w:rPr>
          <w:rFonts w:eastAsia="Times New Roman"/>
          <w:sz w:val="24"/>
        </w:rPr>
      </w:pPr>
    </w:p>
    <w:p w14:paraId="00B68671" w14:textId="77777777" w:rsidR="00C0005E" w:rsidRDefault="00C0005E" w:rsidP="00C0005E">
      <w:pPr>
        <w:shd w:val="clear" w:color="auto" w:fill="FFFFFF"/>
        <w:ind w:left="-720"/>
        <w:rPr>
          <w:rFonts w:eastAsia="Times New Roman"/>
          <w:sz w:val="24"/>
        </w:rPr>
      </w:pPr>
      <w:r>
        <w:rPr>
          <w:rFonts w:eastAsia="Times New Roman"/>
          <w:sz w:val="24"/>
        </w:rPr>
        <w:t xml:space="preserve">For each </w:t>
      </w:r>
      <w:r>
        <w:rPr>
          <w:rFonts w:eastAsia="Times New Roman"/>
          <w:b/>
          <w:sz w:val="24"/>
        </w:rPr>
        <w:t xml:space="preserve">year-long </w:t>
      </w:r>
      <w:r>
        <w:rPr>
          <w:rFonts w:eastAsia="Times New Roman"/>
          <w:sz w:val="24"/>
        </w:rPr>
        <w:t>course, final grades are derived by averaging the two semester grades (80%) and the final exam (20%).  When courses last only half of the school year (Sept.-Jan., or Feb.-June) the credit for these courses is earned and assigned on the February and June report cards.  In other words, students pass or fail courses for the year in February as well as June.</w:t>
      </w:r>
    </w:p>
    <w:p w14:paraId="7550492E" w14:textId="77777777" w:rsidR="00C0005E" w:rsidRDefault="00C0005E" w:rsidP="00C0005E">
      <w:pPr>
        <w:shd w:val="clear" w:color="auto" w:fill="FFFFFF"/>
        <w:ind w:left="-720"/>
        <w:rPr>
          <w:rFonts w:eastAsia="Times New Roman"/>
          <w:sz w:val="24"/>
        </w:rPr>
      </w:pPr>
    </w:p>
    <w:p w14:paraId="24146964" w14:textId="77777777" w:rsidR="00C0005E" w:rsidRDefault="00C0005E" w:rsidP="00C0005E">
      <w:pPr>
        <w:shd w:val="clear" w:color="auto" w:fill="FFFFFF"/>
        <w:ind w:left="-720"/>
        <w:rPr>
          <w:rFonts w:eastAsia="Times New Roman"/>
          <w:sz w:val="24"/>
        </w:rPr>
      </w:pPr>
      <w:r>
        <w:rPr>
          <w:rFonts w:eastAsia="Times New Roman"/>
          <w:sz w:val="24"/>
        </w:rPr>
        <w:t>Students will be recognized and celebrated for high academic achievement.  Collectively, we will develop an assessment philosophy, belief statement, and honor roll criteria.</w:t>
      </w:r>
    </w:p>
    <w:p w14:paraId="3E1BF420" w14:textId="77777777" w:rsidR="00C0005E" w:rsidRDefault="00C0005E" w:rsidP="00C0005E">
      <w:pPr>
        <w:ind w:left="-720"/>
        <w:rPr>
          <w:rFonts w:eastAsia="Times New Roman"/>
          <w:sz w:val="24"/>
          <w:highlight w:val="white"/>
        </w:rPr>
      </w:pPr>
    </w:p>
    <w:p w14:paraId="51713E73" w14:textId="77777777" w:rsidR="00C0005E" w:rsidRDefault="00C0005E" w:rsidP="00C0005E">
      <w:pPr>
        <w:ind w:left="-720"/>
        <w:rPr>
          <w:rFonts w:eastAsia="Times New Roman"/>
          <w:b/>
          <w:sz w:val="24"/>
          <w:highlight w:val="white"/>
        </w:rPr>
      </w:pPr>
      <w:r>
        <w:rPr>
          <w:rFonts w:eastAsia="Times New Roman"/>
          <w:b/>
          <w:sz w:val="24"/>
          <w:highlight w:val="white"/>
        </w:rPr>
        <w:t>Course Failure Policy</w:t>
      </w:r>
    </w:p>
    <w:p w14:paraId="00759EEB" w14:textId="77777777" w:rsidR="00C0005E" w:rsidRDefault="00C0005E" w:rsidP="00C0005E">
      <w:pPr>
        <w:pBdr>
          <w:bottom w:val="none" w:sz="0" w:space="6" w:color="auto"/>
        </w:pBdr>
        <w:ind w:left="-720"/>
        <w:rPr>
          <w:rFonts w:eastAsia="Times New Roman"/>
          <w:sz w:val="24"/>
          <w:highlight w:val="white"/>
        </w:rPr>
      </w:pPr>
      <w:r>
        <w:rPr>
          <w:rFonts w:eastAsia="Times New Roman"/>
          <w:sz w:val="24"/>
          <w:highlight w:val="white"/>
        </w:rPr>
        <w:t xml:space="preserve">The BCPS minimum passing grade for each subject is </w:t>
      </w:r>
      <w:r>
        <w:rPr>
          <w:rFonts w:eastAsia="Times New Roman"/>
          <w:b/>
          <w:sz w:val="24"/>
          <w:highlight w:val="white"/>
        </w:rPr>
        <w:t>60%</w:t>
      </w:r>
      <w:r>
        <w:rPr>
          <w:rFonts w:eastAsia="Times New Roman"/>
          <w:sz w:val="24"/>
          <w:highlight w:val="white"/>
        </w:rPr>
        <w:t xml:space="preserve">. At ACCE, our expectations are that students earn a minimum GPA of 2.00 to participate in extracurricular activities. All students are expected to pass every subject to which they are assigned.  For high school students, failures must be made up in Summer School or through Credit Recovery.  Enrollment in Credit Recovery may not be available to all students.  Students failing three or more subjects may be recommended to alternative programs to fit their needs.  If a student is having difficulty in a class, the student should see the teacher </w:t>
      </w:r>
      <w:proofErr w:type="gramStart"/>
      <w:r>
        <w:rPr>
          <w:rFonts w:eastAsia="Times New Roman"/>
          <w:sz w:val="24"/>
          <w:highlight w:val="white"/>
        </w:rPr>
        <w:t>immediately,  and</w:t>
      </w:r>
      <w:proofErr w:type="gramEnd"/>
      <w:r>
        <w:rPr>
          <w:rFonts w:eastAsia="Times New Roman"/>
          <w:sz w:val="24"/>
          <w:highlight w:val="white"/>
        </w:rPr>
        <w:t xml:space="preserve"> the teacher must inform the parent/guardian and have the student attend Office Hours, which is held before and/or after school. </w:t>
      </w:r>
    </w:p>
    <w:p w14:paraId="3B5E4861" w14:textId="77777777" w:rsidR="00C0005E" w:rsidRDefault="00C0005E" w:rsidP="00C0005E">
      <w:pPr>
        <w:pBdr>
          <w:bottom w:val="none" w:sz="0" w:space="6" w:color="auto"/>
        </w:pBdr>
        <w:ind w:left="-720"/>
        <w:rPr>
          <w:rFonts w:eastAsia="Times New Roman"/>
          <w:sz w:val="24"/>
          <w:highlight w:val="white"/>
        </w:rPr>
      </w:pPr>
    </w:p>
    <w:p w14:paraId="2B0B951F" w14:textId="77777777" w:rsidR="00C0005E" w:rsidRDefault="00C0005E" w:rsidP="00C0005E">
      <w:pPr>
        <w:ind w:right="-810" w:hanging="720"/>
        <w:rPr>
          <w:rFonts w:eastAsia="Times New Roman"/>
          <w:sz w:val="24"/>
        </w:rPr>
      </w:pPr>
      <w:r>
        <w:rPr>
          <w:rFonts w:eastAsia="Times New Roman"/>
          <w:b/>
          <w:sz w:val="24"/>
        </w:rPr>
        <w:t>Grade Reporting</w:t>
      </w:r>
    </w:p>
    <w:p w14:paraId="76648A12" w14:textId="77777777" w:rsidR="00C0005E" w:rsidRDefault="00C0005E" w:rsidP="00C0005E">
      <w:pPr>
        <w:spacing w:line="259" w:lineRule="auto"/>
        <w:ind w:left="-720" w:right="-1080"/>
        <w:rPr>
          <w:rFonts w:eastAsia="Times New Roman"/>
          <w:sz w:val="24"/>
        </w:rPr>
      </w:pPr>
      <w:r>
        <w:rPr>
          <w:rFonts w:eastAsia="Times New Roman"/>
          <w:sz w:val="24"/>
        </w:rPr>
        <w:lastRenderedPageBreak/>
        <w:t>ACCE must follow BCPSS schedule and procedures. Specific directions are sent via email to faculty about when and how progress, quarter, and exam grades are to be entered electronically into Infinite Campus. These guidelines must be followed so that the whole process of grade reporting goes smoothly. The goal is to have efficient, error-free entry and reporting of grades.</w:t>
      </w:r>
    </w:p>
    <w:p w14:paraId="0A11BD24" w14:textId="77777777" w:rsidR="00C0005E" w:rsidRDefault="00C0005E" w:rsidP="00C0005E">
      <w:pPr>
        <w:ind w:left="-720" w:right="-810"/>
        <w:rPr>
          <w:rFonts w:eastAsia="Times New Roman"/>
          <w:sz w:val="24"/>
        </w:rPr>
      </w:pPr>
    </w:p>
    <w:p w14:paraId="6591D76E" w14:textId="77777777" w:rsidR="00C0005E" w:rsidRDefault="00C0005E" w:rsidP="00C0005E">
      <w:pPr>
        <w:ind w:left="-720" w:right="-810"/>
        <w:rPr>
          <w:rFonts w:eastAsia="Times New Roman"/>
          <w:sz w:val="24"/>
        </w:rPr>
      </w:pPr>
    </w:p>
    <w:p w14:paraId="2702907F" w14:textId="77777777" w:rsidR="00C0005E" w:rsidRDefault="00C0005E" w:rsidP="00C0005E">
      <w:pPr>
        <w:ind w:left="-720" w:right="-810"/>
        <w:rPr>
          <w:rFonts w:eastAsia="Times New Roman"/>
          <w:sz w:val="24"/>
        </w:rPr>
      </w:pPr>
      <w:r>
        <w:rPr>
          <w:rFonts w:eastAsia="Times New Roman"/>
          <w:sz w:val="24"/>
        </w:rPr>
        <w:t>Grades are to be submitted 48 hours prior to what is indicated on the BCPSS school calendar. This will provide ACCE faculty members with adequate time to adjust or fix any mistakes.</w:t>
      </w:r>
    </w:p>
    <w:p w14:paraId="286E2371" w14:textId="77777777" w:rsidR="00C0005E" w:rsidRDefault="00C0005E" w:rsidP="00C0005E">
      <w:pPr>
        <w:numPr>
          <w:ilvl w:val="0"/>
          <w:numId w:val="15"/>
        </w:numPr>
        <w:spacing w:after="0"/>
        <w:contextualSpacing/>
        <w:rPr>
          <w:rFonts w:eastAsia="Times New Roman"/>
          <w:sz w:val="24"/>
        </w:rPr>
      </w:pPr>
      <w:r>
        <w:rPr>
          <w:rFonts w:eastAsia="Times New Roman"/>
          <w:sz w:val="24"/>
        </w:rPr>
        <w:t xml:space="preserve">MINIMUM number of grades per week entered in Infinite Campus: 2 per month, must include %, computer </w:t>
      </w:r>
      <w:proofErr w:type="spellStart"/>
      <w:r>
        <w:rPr>
          <w:rFonts w:eastAsia="Times New Roman"/>
          <w:sz w:val="24"/>
        </w:rPr>
        <w:t>can not</w:t>
      </w:r>
      <w:proofErr w:type="spellEnd"/>
      <w:r>
        <w:rPr>
          <w:rFonts w:eastAsia="Times New Roman"/>
          <w:sz w:val="24"/>
        </w:rPr>
        <w:t xml:space="preserve"> calculate letter grades</w:t>
      </w:r>
    </w:p>
    <w:p w14:paraId="24526E95" w14:textId="77777777" w:rsidR="00C0005E" w:rsidRDefault="00C0005E" w:rsidP="00C0005E">
      <w:pPr>
        <w:numPr>
          <w:ilvl w:val="0"/>
          <w:numId w:val="14"/>
        </w:numPr>
        <w:spacing w:after="0"/>
        <w:contextualSpacing/>
        <w:rPr>
          <w:rFonts w:eastAsia="Times New Roman"/>
          <w:sz w:val="24"/>
        </w:rPr>
      </w:pPr>
      <w:r>
        <w:rPr>
          <w:rFonts w:eastAsia="Times New Roman"/>
          <w:sz w:val="24"/>
        </w:rPr>
        <w:t xml:space="preserve">Every student should have comments on his/her report card and must have a comment on </w:t>
      </w:r>
      <w:proofErr w:type="gramStart"/>
      <w:r>
        <w:rPr>
          <w:rFonts w:eastAsia="Times New Roman"/>
          <w:sz w:val="24"/>
        </w:rPr>
        <w:t>the  progress</w:t>
      </w:r>
      <w:proofErr w:type="gramEnd"/>
      <w:r>
        <w:rPr>
          <w:rFonts w:eastAsia="Times New Roman"/>
          <w:sz w:val="24"/>
        </w:rPr>
        <w:t xml:space="preserve"> report if a student’s grade is D or below.  Be careful to frame comments appropriately, giving an accurate picture of how student is doing on grade-level standards.  </w:t>
      </w:r>
      <w:hyperlink r:id="rId7">
        <w:r>
          <w:rPr>
            <w:rFonts w:eastAsia="Times New Roman"/>
            <w:color w:val="1155CC"/>
            <w:sz w:val="24"/>
            <w:u w:val="single"/>
          </w:rPr>
          <w:t>See comment examples here.</w:t>
        </w:r>
      </w:hyperlink>
    </w:p>
    <w:p w14:paraId="09691D61" w14:textId="77777777" w:rsidR="00C0005E" w:rsidRDefault="00C0005E" w:rsidP="00C0005E">
      <w:pPr>
        <w:numPr>
          <w:ilvl w:val="0"/>
          <w:numId w:val="14"/>
        </w:numPr>
        <w:spacing w:after="0"/>
        <w:contextualSpacing/>
        <w:rPr>
          <w:rFonts w:eastAsia="Times New Roman"/>
          <w:sz w:val="24"/>
        </w:rPr>
      </w:pPr>
      <w:r>
        <w:rPr>
          <w:rFonts w:eastAsia="Times New Roman"/>
          <w:sz w:val="24"/>
        </w:rPr>
        <w:t xml:space="preserve">If a child is to </w:t>
      </w:r>
      <w:proofErr w:type="gramStart"/>
      <w:r>
        <w:rPr>
          <w:rFonts w:eastAsia="Times New Roman"/>
          <w:sz w:val="24"/>
        </w:rPr>
        <w:t>referred</w:t>
      </w:r>
      <w:proofErr w:type="gramEnd"/>
      <w:r>
        <w:rPr>
          <w:rFonts w:eastAsia="Times New Roman"/>
          <w:sz w:val="24"/>
        </w:rPr>
        <w:t xml:space="preserve"> to SST, be sure to mention it in the comments to parents with a brief explanation of why (academic concerns, behavior concerns, attendance concerns) they were being referred. </w:t>
      </w:r>
    </w:p>
    <w:p w14:paraId="2098BE26" w14:textId="77777777" w:rsidR="00C0005E" w:rsidRDefault="00C0005E" w:rsidP="00C0005E">
      <w:pPr>
        <w:numPr>
          <w:ilvl w:val="0"/>
          <w:numId w:val="14"/>
        </w:numPr>
        <w:spacing w:after="0"/>
        <w:contextualSpacing/>
        <w:rPr>
          <w:rFonts w:eastAsia="Times New Roman"/>
          <w:sz w:val="24"/>
        </w:rPr>
      </w:pPr>
      <w:r>
        <w:rPr>
          <w:rFonts w:eastAsia="Times New Roman"/>
          <w:sz w:val="24"/>
        </w:rPr>
        <w:t xml:space="preserve">Incoming students receive grade from previous school, unless they are on our roll for ½ of the </w:t>
      </w:r>
      <w:proofErr w:type="gramStart"/>
      <w:r>
        <w:rPr>
          <w:rFonts w:eastAsia="Times New Roman"/>
          <w:sz w:val="24"/>
        </w:rPr>
        <w:t>quarter</w:t>
      </w:r>
      <w:proofErr w:type="gramEnd"/>
      <w:r>
        <w:rPr>
          <w:rFonts w:eastAsia="Times New Roman"/>
          <w:sz w:val="24"/>
        </w:rPr>
        <w:t xml:space="preserve"> which is 23 days, then we give the grade.</w:t>
      </w:r>
    </w:p>
    <w:p w14:paraId="1EC37C37" w14:textId="77777777" w:rsidR="00C0005E" w:rsidRDefault="00C0005E" w:rsidP="00C0005E">
      <w:pPr>
        <w:numPr>
          <w:ilvl w:val="0"/>
          <w:numId w:val="14"/>
        </w:numPr>
        <w:spacing w:after="0"/>
        <w:contextualSpacing/>
        <w:rPr>
          <w:rFonts w:ascii="Merriweather" w:eastAsia="Merriweather" w:hAnsi="Merriweather" w:cs="Merriweather"/>
          <w:sz w:val="24"/>
        </w:rPr>
      </w:pPr>
      <w:r>
        <w:rPr>
          <w:rFonts w:eastAsia="Times New Roman"/>
          <w:sz w:val="24"/>
        </w:rPr>
        <w:t xml:space="preserve">Students must have comments for </w:t>
      </w:r>
      <w:r>
        <w:rPr>
          <w:rFonts w:eastAsia="Times New Roman"/>
          <w:b/>
          <w:i/>
          <w:sz w:val="24"/>
        </w:rPr>
        <w:t>attendance</w:t>
      </w:r>
      <w:r>
        <w:rPr>
          <w:rFonts w:eastAsia="Times New Roman"/>
          <w:sz w:val="24"/>
        </w:rPr>
        <w:t xml:space="preserve">, </w:t>
      </w:r>
      <w:r>
        <w:rPr>
          <w:rFonts w:eastAsia="Times New Roman"/>
          <w:b/>
          <w:i/>
          <w:sz w:val="24"/>
        </w:rPr>
        <w:t>behavior</w:t>
      </w:r>
      <w:r>
        <w:rPr>
          <w:rFonts w:eastAsia="Times New Roman"/>
          <w:sz w:val="24"/>
        </w:rPr>
        <w:t xml:space="preserve">, and </w:t>
      </w:r>
      <w:r>
        <w:rPr>
          <w:rFonts w:eastAsia="Times New Roman"/>
          <w:b/>
          <w:i/>
          <w:sz w:val="24"/>
        </w:rPr>
        <w:t xml:space="preserve">academics </w:t>
      </w:r>
      <w:r>
        <w:rPr>
          <w:rFonts w:eastAsia="Times New Roman"/>
          <w:sz w:val="24"/>
        </w:rPr>
        <w:t xml:space="preserve">according to the following criteria. Comments should be as specific as possible in these three areas. </w:t>
      </w:r>
    </w:p>
    <w:p w14:paraId="4C811D9A" w14:textId="77777777" w:rsidR="00C0005E" w:rsidRDefault="00C0005E" w:rsidP="00C0005E">
      <w:pPr>
        <w:numPr>
          <w:ilvl w:val="1"/>
          <w:numId w:val="14"/>
        </w:numPr>
        <w:spacing w:after="0"/>
        <w:contextualSpacing/>
        <w:rPr>
          <w:rFonts w:ascii="Merriweather" w:eastAsia="Merriweather" w:hAnsi="Merriweather" w:cs="Merriweather"/>
          <w:sz w:val="24"/>
        </w:rPr>
      </w:pPr>
      <w:r>
        <w:rPr>
          <w:rFonts w:eastAsia="Times New Roman"/>
          <w:b/>
          <w:i/>
          <w:sz w:val="24"/>
        </w:rPr>
        <w:t>Attendance</w:t>
      </w:r>
      <w:r>
        <w:rPr>
          <w:rFonts w:eastAsia="Times New Roman"/>
          <w:sz w:val="24"/>
        </w:rPr>
        <w:t xml:space="preserve">: A comment is needed if a student has been absent 5 or more times for the marking period or if the student is consistently tardy and that they are failing your course or a content area, because of their excessive tardiness. (10+ absences = SST) </w:t>
      </w:r>
    </w:p>
    <w:p w14:paraId="10596BB3" w14:textId="77777777" w:rsidR="00C0005E" w:rsidRDefault="00C0005E" w:rsidP="00C0005E">
      <w:pPr>
        <w:numPr>
          <w:ilvl w:val="1"/>
          <w:numId w:val="14"/>
        </w:numPr>
        <w:spacing w:after="0"/>
        <w:contextualSpacing/>
        <w:rPr>
          <w:rFonts w:ascii="Merriweather" w:eastAsia="Merriweather" w:hAnsi="Merriweather" w:cs="Merriweather"/>
          <w:sz w:val="24"/>
        </w:rPr>
      </w:pPr>
      <w:r>
        <w:rPr>
          <w:rFonts w:eastAsia="Times New Roman"/>
          <w:b/>
          <w:i/>
          <w:sz w:val="24"/>
        </w:rPr>
        <w:t>Behavior</w:t>
      </w:r>
      <w:r>
        <w:rPr>
          <w:rFonts w:eastAsia="Times New Roman"/>
          <w:sz w:val="24"/>
        </w:rPr>
        <w:t xml:space="preserve">: Address any concerns with behaviors that interfere with a student passing the course.  If a student is failing because their behavior interferes with learning, they should be referred to SST.  </w:t>
      </w:r>
    </w:p>
    <w:p w14:paraId="518561D5" w14:textId="77777777" w:rsidR="00C0005E" w:rsidRDefault="00C0005E" w:rsidP="00C0005E">
      <w:pPr>
        <w:numPr>
          <w:ilvl w:val="1"/>
          <w:numId w:val="14"/>
        </w:numPr>
        <w:spacing w:after="0"/>
        <w:contextualSpacing/>
        <w:rPr>
          <w:rFonts w:ascii="Merriweather" w:eastAsia="Merriweather" w:hAnsi="Merriweather" w:cs="Merriweather"/>
          <w:sz w:val="24"/>
        </w:rPr>
      </w:pPr>
      <w:r>
        <w:rPr>
          <w:rFonts w:eastAsia="Times New Roman"/>
          <w:b/>
          <w:i/>
          <w:sz w:val="24"/>
        </w:rPr>
        <w:t>Academics</w:t>
      </w:r>
      <w:r>
        <w:rPr>
          <w:rFonts w:eastAsia="Times New Roman"/>
          <w:sz w:val="24"/>
        </w:rPr>
        <w:t>: Address academic concerns including, reading and math level, missing classwork, missing homework, or if a student is in danger of failing. If specific areas like homework or participation strongly affect performance, please address them. Include any relevant diagnostic or other data that provides an accurate description of a student’s performance.</w:t>
      </w:r>
    </w:p>
    <w:p w14:paraId="0506FDE0" w14:textId="77777777" w:rsidR="00C0005E" w:rsidRDefault="00C0005E" w:rsidP="00C0005E">
      <w:pPr>
        <w:numPr>
          <w:ilvl w:val="1"/>
          <w:numId w:val="14"/>
        </w:numPr>
        <w:spacing w:after="0"/>
        <w:contextualSpacing/>
        <w:rPr>
          <w:rFonts w:ascii="Merriweather" w:eastAsia="Merriweather" w:hAnsi="Merriweather" w:cs="Merriweather"/>
          <w:sz w:val="24"/>
        </w:rPr>
      </w:pPr>
      <w:r>
        <w:rPr>
          <w:rFonts w:eastAsia="Times New Roman"/>
          <w:b/>
          <w:sz w:val="24"/>
        </w:rPr>
        <w:t>ESOL/Special Education Grades</w:t>
      </w:r>
      <w:r>
        <w:rPr>
          <w:rFonts w:eastAsia="Times New Roman"/>
          <w:sz w:val="24"/>
        </w:rPr>
        <w:t xml:space="preserve">: All teachers have a legal responsibility to ensure that there are grades for all students on your Infinite Campus roster.  </w:t>
      </w:r>
    </w:p>
    <w:p w14:paraId="78463783" w14:textId="77777777" w:rsidR="00C0005E" w:rsidRDefault="00C0005E" w:rsidP="00C0005E">
      <w:pPr>
        <w:numPr>
          <w:ilvl w:val="1"/>
          <w:numId w:val="14"/>
        </w:numPr>
        <w:spacing w:after="0"/>
        <w:contextualSpacing/>
        <w:rPr>
          <w:rFonts w:eastAsia="Times New Roman"/>
          <w:sz w:val="24"/>
        </w:rPr>
      </w:pPr>
      <w:r>
        <w:rPr>
          <w:rFonts w:eastAsia="Times New Roman"/>
          <w:sz w:val="24"/>
        </w:rPr>
        <w:t xml:space="preserve">If a student is always pulled out of a teacher’s class, then 100% of the grade for that general education class should come from the ESOL or Special Education </w:t>
      </w:r>
      <w:r>
        <w:rPr>
          <w:rFonts w:eastAsia="Times New Roman"/>
          <w:sz w:val="24"/>
        </w:rPr>
        <w:lastRenderedPageBreak/>
        <w:t xml:space="preserve">teacher who serves them during that time, with a note in the comments to specify that the grade comes from the ESOL or Special Education teacher.  </w:t>
      </w:r>
    </w:p>
    <w:p w14:paraId="38CCA52F" w14:textId="77777777" w:rsidR="00C0005E" w:rsidRDefault="00C0005E" w:rsidP="00C0005E">
      <w:pPr>
        <w:numPr>
          <w:ilvl w:val="1"/>
          <w:numId w:val="14"/>
        </w:numPr>
        <w:spacing w:after="0"/>
        <w:contextualSpacing/>
        <w:rPr>
          <w:rFonts w:eastAsia="Times New Roman"/>
          <w:sz w:val="24"/>
        </w:rPr>
      </w:pPr>
      <w:r>
        <w:rPr>
          <w:rFonts w:eastAsia="Times New Roman"/>
          <w:sz w:val="24"/>
        </w:rPr>
        <w:t>If the student is pulled out with less frequency, then the general education teacher and collaborating teacher must assign a grade based on the proportion of time spent in each class (i.e. pulled out 50% of time, grade is a 50/50 blend of both classes).  Comment needs to say- This grade reflects work in ESOL</w:t>
      </w:r>
    </w:p>
    <w:p w14:paraId="1DE9DB03" w14:textId="77777777" w:rsidR="00C0005E" w:rsidRDefault="00C0005E" w:rsidP="00C0005E">
      <w:pPr>
        <w:numPr>
          <w:ilvl w:val="1"/>
          <w:numId w:val="14"/>
        </w:numPr>
        <w:spacing w:after="0"/>
        <w:contextualSpacing/>
        <w:rPr>
          <w:rFonts w:eastAsia="Times New Roman"/>
          <w:sz w:val="24"/>
        </w:rPr>
      </w:pPr>
      <w:r>
        <w:rPr>
          <w:rFonts w:eastAsia="Times New Roman"/>
          <w:sz w:val="24"/>
        </w:rPr>
        <w:t>No ESOL Exempt, No ESOL NTQ</w:t>
      </w:r>
    </w:p>
    <w:p w14:paraId="2F83BAE3" w14:textId="77777777" w:rsidR="00C0005E" w:rsidRDefault="00C0005E" w:rsidP="00C0005E">
      <w:pPr>
        <w:rPr>
          <w:rFonts w:eastAsia="Times New Roman"/>
          <w:sz w:val="24"/>
        </w:rPr>
      </w:pPr>
    </w:p>
    <w:p w14:paraId="6BA5642A" w14:textId="77777777" w:rsidR="00C0005E" w:rsidRDefault="00C0005E" w:rsidP="00C0005E">
      <w:pPr>
        <w:numPr>
          <w:ilvl w:val="0"/>
          <w:numId w:val="13"/>
        </w:numPr>
        <w:spacing w:after="0"/>
        <w:contextualSpacing/>
        <w:rPr>
          <w:rFonts w:eastAsia="Times New Roman"/>
          <w:sz w:val="24"/>
        </w:rPr>
      </w:pPr>
      <w:r>
        <w:rPr>
          <w:rFonts w:eastAsia="Times New Roman"/>
          <w:sz w:val="24"/>
        </w:rPr>
        <w:t xml:space="preserve">See Guidelines for Parent Conferences </w:t>
      </w:r>
      <w:hyperlink r:id="rId8">
        <w:r>
          <w:rPr>
            <w:rFonts w:eastAsia="Times New Roman"/>
            <w:color w:val="1155CC"/>
            <w:sz w:val="24"/>
            <w:u w:val="single"/>
          </w:rPr>
          <w:t>here</w:t>
        </w:r>
      </w:hyperlink>
      <w:r>
        <w:rPr>
          <w:rFonts w:eastAsia="Times New Roman"/>
          <w:sz w:val="24"/>
        </w:rPr>
        <w:t>.</w:t>
      </w:r>
    </w:p>
    <w:p w14:paraId="430086F5" w14:textId="77777777" w:rsidR="00C0005E" w:rsidRDefault="00C0005E" w:rsidP="00C0005E">
      <w:pPr>
        <w:rPr>
          <w:rFonts w:eastAsia="Times New Roman"/>
          <w:b/>
          <w:sz w:val="24"/>
          <w:u w:val="single"/>
        </w:rPr>
      </w:pPr>
    </w:p>
    <w:p w14:paraId="06464DD5" w14:textId="77777777" w:rsidR="00C0005E" w:rsidRDefault="00C0005E" w:rsidP="00C0005E">
      <w:pPr>
        <w:rPr>
          <w:rFonts w:eastAsia="Times New Roman"/>
          <w:sz w:val="24"/>
        </w:rPr>
      </w:pPr>
      <w:r>
        <w:rPr>
          <w:rFonts w:eastAsia="Times New Roman"/>
          <w:b/>
          <w:sz w:val="24"/>
          <w:u w:val="single"/>
        </w:rPr>
        <w:t>When submitting grades:</w:t>
      </w:r>
      <w:r>
        <w:rPr>
          <w:rFonts w:eastAsia="Times New Roman"/>
          <w:sz w:val="24"/>
        </w:rPr>
        <w:t xml:space="preserve"> Please adhere to the following procedures when submitting grades in Infinite Campus. </w:t>
      </w:r>
    </w:p>
    <w:p w14:paraId="52249C46" w14:textId="77777777" w:rsidR="00C0005E" w:rsidRDefault="00C0005E" w:rsidP="00C0005E">
      <w:pPr>
        <w:rPr>
          <w:rFonts w:eastAsia="Times New Roman"/>
          <w:sz w:val="24"/>
        </w:rPr>
      </w:pPr>
    </w:p>
    <w:p w14:paraId="618C1699" w14:textId="77777777" w:rsidR="00C0005E" w:rsidRDefault="00C0005E" w:rsidP="00C0005E">
      <w:pPr>
        <w:rPr>
          <w:rFonts w:eastAsia="Times New Roman"/>
          <w:b/>
          <w:sz w:val="24"/>
        </w:rPr>
      </w:pPr>
      <w:r>
        <w:rPr>
          <w:rFonts w:eastAsia="Times New Roman"/>
          <w:b/>
          <w:sz w:val="24"/>
        </w:rPr>
        <w:t xml:space="preserve">Grading procedures: </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2910"/>
        <w:gridCol w:w="2925"/>
      </w:tblGrid>
      <w:tr w:rsidR="00C0005E" w14:paraId="4A2CCA3B" w14:textId="77777777" w:rsidTr="007F3C8F">
        <w:tc>
          <w:tcPr>
            <w:tcW w:w="304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64BDE5F" w14:textId="77777777" w:rsidR="00C0005E" w:rsidRDefault="00C0005E" w:rsidP="007F3C8F">
            <w:pPr>
              <w:ind w:left="120" w:right="120"/>
              <w:rPr>
                <w:rFonts w:eastAsia="Times New Roman"/>
                <w:sz w:val="24"/>
              </w:rPr>
            </w:pPr>
            <w:r>
              <w:rPr>
                <w:rFonts w:eastAsia="Times New Roman"/>
                <w:sz w:val="24"/>
              </w:rPr>
              <w:t xml:space="preserve">Question </w:t>
            </w:r>
          </w:p>
        </w:tc>
        <w:tc>
          <w:tcPr>
            <w:tcW w:w="2910" w:type="dxa"/>
            <w:tcBorders>
              <w:top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379EC6D7" w14:textId="77777777" w:rsidR="00C0005E" w:rsidRDefault="00C0005E" w:rsidP="007F3C8F">
            <w:pPr>
              <w:ind w:left="120" w:right="120"/>
              <w:rPr>
                <w:rFonts w:eastAsia="Times New Roman"/>
                <w:sz w:val="24"/>
              </w:rPr>
            </w:pPr>
            <w:r>
              <w:rPr>
                <w:rFonts w:eastAsia="Times New Roman"/>
                <w:sz w:val="24"/>
              </w:rPr>
              <w:t>Yes</w:t>
            </w:r>
          </w:p>
        </w:tc>
        <w:tc>
          <w:tcPr>
            <w:tcW w:w="2925" w:type="dxa"/>
            <w:tcBorders>
              <w:top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13F0843" w14:textId="77777777" w:rsidR="00C0005E" w:rsidRDefault="00C0005E" w:rsidP="007F3C8F">
            <w:pPr>
              <w:ind w:left="120" w:right="120"/>
              <w:rPr>
                <w:rFonts w:eastAsia="Times New Roman"/>
                <w:sz w:val="24"/>
              </w:rPr>
            </w:pPr>
            <w:r>
              <w:rPr>
                <w:rFonts w:eastAsia="Times New Roman"/>
                <w:sz w:val="24"/>
              </w:rPr>
              <w:t xml:space="preserve">No </w:t>
            </w:r>
          </w:p>
        </w:tc>
      </w:tr>
      <w:tr w:rsidR="00C0005E" w14:paraId="7577A2A8" w14:textId="77777777" w:rsidTr="007F3C8F">
        <w:tc>
          <w:tcPr>
            <w:tcW w:w="3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715BF" w14:textId="77777777" w:rsidR="00C0005E" w:rsidRDefault="00C0005E" w:rsidP="007F3C8F">
            <w:pPr>
              <w:ind w:left="120" w:right="120"/>
              <w:rPr>
                <w:rFonts w:eastAsia="Times New Roman"/>
                <w:sz w:val="24"/>
              </w:rPr>
            </w:pPr>
            <w:r>
              <w:rPr>
                <w:rFonts w:eastAsia="Times New Roman"/>
                <w:sz w:val="24"/>
              </w:rPr>
              <w:t>Do all of my students either have a grade or are marked NTQ (rotation classes only)?</w:t>
            </w:r>
          </w:p>
        </w:tc>
        <w:tc>
          <w:tcPr>
            <w:tcW w:w="29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A11D6" w14:textId="77777777" w:rsidR="00C0005E" w:rsidRDefault="00C0005E" w:rsidP="007F3C8F">
            <w:pPr>
              <w:ind w:left="120" w:right="120"/>
              <w:rPr>
                <w:rFonts w:eastAsia="Times New Roman"/>
                <w:sz w:val="24"/>
              </w:rPr>
            </w:pPr>
            <w:r>
              <w:rPr>
                <w:rFonts w:eastAsia="Times New Roman"/>
                <w:sz w:val="24"/>
              </w:rPr>
              <w:t xml:space="preserve"> </w:t>
            </w:r>
          </w:p>
        </w:tc>
        <w:tc>
          <w:tcPr>
            <w:tcW w:w="29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BB033A" w14:textId="77777777" w:rsidR="00C0005E" w:rsidRDefault="00C0005E" w:rsidP="007F3C8F">
            <w:pPr>
              <w:ind w:left="120" w:right="120"/>
              <w:rPr>
                <w:rFonts w:eastAsia="Times New Roman"/>
                <w:sz w:val="24"/>
              </w:rPr>
            </w:pPr>
            <w:r>
              <w:rPr>
                <w:rFonts w:eastAsia="Times New Roman"/>
                <w:sz w:val="24"/>
              </w:rPr>
              <w:t xml:space="preserve"> </w:t>
            </w:r>
          </w:p>
        </w:tc>
      </w:tr>
      <w:tr w:rsidR="00C0005E" w14:paraId="750CA69C" w14:textId="77777777" w:rsidTr="007F3C8F">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7F807" w14:textId="77777777" w:rsidR="00C0005E" w:rsidRDefault="00C0005E" w:rsidP="007F3C8F">
            <w:pPr>
              <w:ind w:left="120" w:right="120"/>
              <w:rPr>
                <w:rFonts w:eastAsia="Times New Roman"/>
                <w:sz w:val="24"/>
              </w:rPr>
            </w:pPr>
            <w:r>
              <w:rPr>
                <w:rFonts w:eastAsia="Times New Roman"/>
                <w:sz w:val="24"/>
              </w:rPr>
              <w:t>Do all of my students have comments?</w:t>
            </w:r>
          </w:p>
        </w:tc>
        <w:tc>
          <w:tcPr>
            <w:tcW w:w="2910" w:type="dxa"/>
            <w:tcBorders>
              <w:bottom w:val="single" w:sz="8" w:space="0" w:color="000000"/>
              <w:right w:val="single" w:sz="8" w:space="0" w:color="000000"/>
            </w:tcBorders>
            <w:shd w:val="clear" w:color="auto" w:fill="auto"/>
            <w:tcMar>
              <w:top w:w="100" w:type="dxa"/>
              <w:left w:w="100" w:type="dxa"/>
              <w:bottom w:w="100" w:type="dxa"/>
              <w:right w:w="100" w:type="dxa"/>
            </w:tcMar>
          </w:tcPr>
          <w:p w14:paraId="0BE2D4BA" w14:textId="77777777" w:rsidR="00C0005E" w:rsidRDefault="00C0005E" w:rsidP="007F3C8F">
            <w:pPr>
              <w:ind w:left="120" w:right="120"/>
              <w:rPr>
                <w:rFonts w:eastAsia="Times New Roman"/>
                <w:sz w:val="24"/>
              </w:rPr>
            </w:pPr>
            <w:r>
              <w:rPr>
                <w:rFonts w:eastAsia="Times New Roman"/>
                <w:sz w:val="24"/>
              </w:rPr>
              <w:t xml:space="preserv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14:paraId="18078F2E" w14:textId="77777777" w:rsidR="00C0005E" w:rsidRDefault="00C0005E" w:rsidP="007F3C8F">
            <w:pPr>
              <w:ind w:left="120" w:right="120"/>
              <w:rPr>
                <w:rFonts w:eastAsia="Times New Roman"/>
                <w:sz w:val="24"/>
              </w:rPr>
            </w:pPr>
            <w:r>
              <w:rPr>
                <w:rFonts w:eastAsia="Times New Roman"/>
                <w:sz w:val="24"/>
              </w:rPr>
              <w:t xml:space="preserve"> </w:t>
            </w:r>
          </w:p>
        </w:tc>
      </w:tr>
      <w:tr w:rsidR="00C0005E" w14:paraId="3386357A" w14:textId="77777777" w:rsidTr="007F3C8F">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092C8" w14:textId="77777777" w:rsidR="00C0005E" w:rsidRDefault="00C0005E" w:rsidP="007F3C8F">
            <w:pPr>
              <w:ind w:left="120" w:right="120"/>
              <w:rPr>
                <w:rFonts w:eastAsia="Times New Roman"/>
                <w:sz w:val="24"/>
              </w:rPr>
            </w:pPr>
            <w:r>
              <w:rPr>
                <w:rFonts w:eastAsia="Times New Roman"/>
                <w:sz w:val="24"/>
              </w:rPr>
              <w:t>Do all of my students have a grade for conduct?</w:t>
            </w:r>
          </w:p>
        </w:tc>
        <w:tc>
          <w:tcPr>
            <w:tcW w:w="2910" w:type="dxa"/>
            <w:tcBorders>
              <w:bottom w:val="single" w:sz="8" w:space="0" w:color="000000"/>
              <w:right w:val="single" w:sz="8" w:space="0" w:color="000000"/>
            </w:tcBorders>
            <w:shd w:val="clear" w:color="auto" w:fill="auto"/>
            <w:tcMar>
              <w:top w:w="100" w:type="dxa"/>
              <w:left w:w="100" w:type="dxa"/>
              <w:bottom w:w="100" w:type="dxa"/>
              <w:right w:w="100" w:type="dxa"/>
            </w:tcMar>
          </w:tcPr>
          <w:p w14:paraId="70EBA98B" w14:textId="77777777" w:rsidR="00C0005E" w:rsidRDefault="00C0005E" w:rsidP="007F3C8F">
            <w:pPr>
              <w:ind w:left="120" w:right="120"/>
              <w:rPr>
                <w:rFonts w:eastAsia="Times New Roman"/>
                <w:sz w:val="24"/>
              </w:rPr>
            </w:pPr>
            <w:r>
              <w:rPr>
                <w:rFonts w:eastAsia="Times New Roman"/>
                <w:sz w:val="24"/>
              </w:rPr>
              <w:t xml:space="preserv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14:paraId="1BD41DC1" w14:textId="77777777" w:rsidR="00C0005E" w:rsidRDefault="00C0005E" w:rsidP="007F3C8F">
            <w:pPr>
              <w:ind w:left="120" w:right="120"/>
              <w:rPr>
                <w:rFonts w:eastAsia="Times New Roman"/>
                <w:sz w:val="24"/>
              </w:rPr>
            </w:pPr>
            <w:r>
              <w:rPr>
                <w:rFonts w:eastAsia="Times New Roman"/>
                <w:sz w:val="24"/>
              </w:rPr>
              <w:t xml:space="preserve"> </w:t>
            </w:r>
          </w:p>
        </w:tc>
      </w:tr>
    </w:tbl>
    <w:p w14:paraId="3EBE6449" w14:textId="77777777" w:rsidR="00C0005E" w:rsidRDefault="00C0005E" w:rsidP="00C0005E">
      <w:pPr>
        <w:rPr>
          <w:rFonts w:eastAsia="Times New Roman"/>
          <w:sz w:val="24"/>
        </w:rPr>
      </w:pPr>
      <w:r>
        <w:rPr>
          <w:rFonts w:eastAsia="Times New Roman"/>
          <w:sz w:val="24"/>
        </w:rPr>
        <w:t xml:space="preserve"> </w:t>
      </w:r>
    </w:p>
    <w:p w14:paraId="291A0BA1" w14:textId="77777777" w:rsidR="00C0005E" w:rsidRDefault="00C0005E" w:rsidP="00C0005E">
      <w:pPr>
        <w:numPr>
          <w:ilvl w:val="0"/>
          <w:numId w:val="12"/>
        </w:numPr>
        <w:spacing w:after="0"/>
        <w:contextualSpacing/>
        <w:rPr>
          <w:rFonts w:eastAsia="Times New Roman"/>
          <w:sz w:val="24"/>
        </w:rPr>
      </w:pPr>
      <w:r>
        <w:rPr>
          <w:rFonts w:eastAsia="Times New Roman"/>
          <w:sz w:val="24"/>
        </w:rPr>
        <w:t>If you can answer “Yes” to all of these questions you will not come up on the missing grades report.</w:t>
      </w:r>
    </w:p>
    <w:p w14:paraId="673CE16C" w14:textId="77777777" w:rsidR="00C0005E" w:rsidRDefault="00C0005E" w:rsidP="00C0005E">
      <w:pPr>
        <w:numPr>
          <w:ilvl w:val="1"/>
          <w:numId w:val="12"/>
        </w:numPr>
        <w:spacing w:after="0"/>
        <w:contextualSpacing/>
        <w:rPr>
          <w:rFonts w:eastAsia="Times New Roman"/>
          <w:sz w:val="24"/>
        </w:rPr>
      </w:pPr>
      <w:r>
        <w:rPr>
          <w:rFonts w:eastAsia="Times New Roman"/>
          <w:sz w:val="24"/>
        </w:rPr>
        <w:t xml:space="preserve">If you teach Elective Course and enter grades into Infinite Campus, ensure that all students who are currently taking your class have a grade (progress reports and report cards). For all students in the school who are not currently taking your class, ensure that they have an NTQ for that course. </w:t>
      </w:r>
    </w:p>
    <w:p w14:paraId="25A0E672" w14:textId="77777777" w:rsidR="00C0005E" w:rsidRDefault="00C0005E" w:rsidP="00C0005E">
      <w:pPr>
        <w:numPr>
          <w:ilvl w:val="0"/>
          <w:numId w:val="12"/>
        </w:numPr>
        <w:spacing w:after="0"/>
        <w:contextualSpacing/>
        <w:rPr>
          <w:rFonts w:eastAsia="Times New Roman"/>
          <w:sz w:val="24"/>
        </w:rPr>
      </w:pPr>
      <w:r>
        <w:rPr>
          <w:rFonts w:eastAsia="Times New Roman"/>
          <w:b/>
          <w:sz w:val="24"/>
        </w:rPr>
        <w:lastRenderedPageBreak/>
        <w:t>Pull your own missing grades report</w:t>
      </w:r>
    </w:p>
    <w:p w14:paraId="28B560B5" w14:textId="77777777" w:rsidR="00C0005E" w:rsidRDefault="00C0005E" w:rsidP="00C0005E">
      <w:pPr>
        <w:numPr>
          <w:ilvl w:val="1"/>
          <w:numId w:val="12"/>
        </w:numPr>
        <w:spacing w:after="0"/>
        <w:contextualSpacing/>
        <w:rPr>
          <w:rFonts w:eastAsia="Times New Roman"/>
          <w:sz w:val="24"/>
        </w:rPr>
      </w:pPr>
      <w:r>
        <w:rPr>
          <w:rFonts w:eastAsia="Times New Roman"/>
          <w:sz w:val="24"/>
        </w:rPr>
        <w:t>Log into Infinite Campus</w:t>
      </w:r>
    </w:p>
    <w:p w14:paraId="514BC98F" w14:textId="77777777" w:rsidR="00C0005E" w:rsidRDefault="00C0005E" w:rsidP="00C0005E">
      <w:pPr>
        <w:numPr>
          <w:ilvl w:val="1"/>
          <w:numId w:val="12"/>
        </w:numPr>
        <w:spacing w:after="0"/>
        <w:contextualSpacing/>
        <w:rPr>
          <w:rFonts w:eastAsia="Times New Roman"/>
          <w:sz w:val="24"/>
        </w:rPr>
      </w:pPr>
      <w:r>
        <w:rPr>
          <w:rFonts w:eastAsia="Times New Roman"/>
          <w:sz w:val="24"/>
        </w:rPr>
        <w:t>Grading and Standards Report</w:t>
      </w:r>
    </w:p>
    <w:p w14:paraId="63804991" w14:textId="77777777" w:rsidR="00C0005E" w:rsidRDefault="00C0005E" w:rsidP="00C0005E">
      <w:pPr>
        <w:numPr>
          <w:ilvl w:val="1"/>
          <w:numId w:val="12"/>
        </w:numPr>
        <w:spacing w:after="0"/>
        <w:contextualSpacing/>
        <w:rPr>
          <w:rFonts w:eastAsia="Times New Roman"/>
          <w:sz w:val="24"/>
        </w:rPr>
      </w:pPr>
      <w:r>
        <w:rPr>
          <w:rFonts w:eastAsia="Times New Roman"/>
          <w:sz w:val="24"/>
        </w:rPr>
        <w:t xml:space="preserve">Grades report </w:t>
      </w:r>
    </w:p>
    <w:p w14:paraId="4B93189E" w14:textId="77777777" w:rsidR="00C0005E" w:rsidRDefault="00C0005E" w:rsidP="00C0005E">
      <w:pPr>
        <w:numPr>
          <w:ilvl w:val="1"/>
          <w:numId w:val="12"/>
        </w:numPr>
        <w:spacing w:after="0"/>
        <w:contextualSpacing/>
        <w:rPr>
          <w:rFonts w:eastAsia="Times New Roman"/>
          <w:sz w:val="24"/>
        </w:rPr>
      </w:pPr>
      <w:r>
        <w:rPr>
          <w:rFonts w:eastAsia="Times New Roman"/>
          <w:sz w:val="24"/>
        </w:rPr>
        <w:t>Select term</w:t>
      </w:r>
    </w:p>
    <w:p w14:paraId="6524302D" w14:textId="77777777" w:rsidR="00C0005E" w:rsidRDefault="00C0005E" w:rsidP="00C0005E">
      <w:pPr>
        <w:numPr>
          <w:ilvl w:val="1"/>
          <w:numId w:val="12"/>
        </w:numPr>
        <w:spacing w:after="0"/>
        <w:contextualSpacing/>
        <w:rPr>
          <w:rFonts w:eastAsia="Times New Roman"/>
          <w:sz w:val="24"/>
        </w:rPr>
      </w:pPr>
      <w:r>
        <w:rPr>
          <w:rFonts w:eastAsia="Times New Roman"/>
          <w:sz w:val="24"/>
        </w:rPr>
        <w:t>Teacher name</w:t>
      </w:r>
    </w:p>
    <w:p w14:paraId="385912D4" w14:textId="77777777" w:rsidR="00C0005E" w:rsidRDefault="00C0005E" w:rsidP="00C0005E">
      <w:pPr>
        <w:numPr>
          <w:ilvl w:val="1"/>
          <w:numId w:val="12"/>
        </w:numPr>
        <w:spacing w:after="0"/>
        <w:contextualSpacing/>
        <w:rPr>
          <w:rFonts w:eastAsia="Times New Roman"/>
          <w:sz w:val="24"/>
        </w:rPr>
      </w:pPr>
      <w:r>
        <w:rPr>
          <w:rFonts w:eastAsia="Times New Roman"/>
          <w:sz w:val="24"/>
        </w:rPr>
        <w:t>Progress Report or marking period</w:t>
      </w:r>
    </w:p>
    <w:p w14:paraId="4C3418BF" w14:textId="77777777" w:rsidR="00C0005E" w:rsidRDefault="00C0005E" w:rsidP="00C0005E">
      <w:pPr>
        <w:numPr>
          <w:ilvl w:val="1"/>
          <w:numId w:val="12"/>
        </w:numPr>
        <w:spacing w:after="0"/>
        <w:contextualSpacing/>
        <w:rPr>
          <w:rFonts w:eastAsia="Times New Roman"/>
          <w:sz w:val="24"/>
        </w:rPr>
      </w:pPr>
      <w:r>
        <w:rPr>
          <w:rFonts w:eastAsia="Times New Roman"/>
          <w:sz w:val="24"/>
        </w:rPr>
        <w:t>Shift key + progress conduct or shift + marking period conduct</w:t>
      </w:r>
    </w:p>
    <w:p w14:paraId="05A6270A" w14:textId="77777777" w:rsidR="00C0005E" w:rsidRDefault="00C0005E" w:rsidP="00C0005E">
      <w:pPr>
        <w:numPr>
          <w:ilvl w:val="1"/>
          <w:numId w:val="12"/>
        </w:numPr>
        <w:spacing w:after="0"/>
        <w:contextualSpacing/>
        <w:rPr>
          <w:rFonts w:eastAsia="Times New Roman"/>
          <w:sz w:val="24"/>
        </w:rPr>
      </w:pPr>
      <w:r>
        <w:rPr>
          <w:rFonts w:eastAsia="Times New Roman"/>
          <w:sz w:val="24"/>
        </w:rPr>
        <w:t xml:space="preserve">Missing grades </w:t>
      </w:r>
    </w:p>
    <w:p w14:paraId="52346154" w14:textId="77777777" w:rsidR="00C0005E" w:rsidRDefault="00C0005E" w:rsidP="00C0005E">
      <w:pPr>
        <w:ind w:left="1440"/>
        <w:rPr>
          <w:rFonts w:eastAsia="Times New Roman"/>
          <w:sz w:val="24"/>
        </w:rPr>
      </w:pPr>
    </w:p>
    <w:p w14:paraId="3E86C448" w14:textId="77777777" w:rsidR="00C0005E" w:rsidRDefault="00C0005E" w:rsidP="00C0005E">
      <w:pPr>
        <w:numPr>
          <w:ilvl w:val="1"/>
          <w:numId w:val="12"/>
        </w:numPr>
        <w:spacing w:after="0"/>
        <w:contextualSpacing/>
        <w:rPr>
          <w:rFonts w:eastAsia="Times New Roman"/>
          <w:sz w:val="24"/>
        </w:rPr>
      </w:pPr>
      <w:r>
        <w:rPr>
          <w:rFonts w:eastAsia="Times New Roman"/>
          <w:sz w:val="24"/>
        </w:rPr>
        <w:t xml:space="preserve">Check the dropped </w:t>
      </w:r>
      <w:proofErr w:type="gramStart"/>
      <w:r>
        <w:rPr>
          <w:rFonts w:eastAsia="Times New Roman"/>
          <w:sz w:val="24"/>
        </w:rPr>
        <w:t>students</w:t>
      </w:r>
      <w:proofErr w:type="gramEnd"/>
      <w:r>
        <w:rPr>
          <w:rFonts w:eastAsia="Times New Roman"/>
          <w:sz w:val="24"/>
        </w:rPr>
        <w:t xml:space="preserve"> box </w:t>
      </w:r>
    </w:p>
    <w:p w14:paraId="5324E628" w14:textId="77777777" w:rsidR="00C0005E" w:rsidRDefault="00C0005E" w:rsidP="00C0005E">
      <w:pPr>
        <w:numPr>
          <w:ilvl w:val="1"/>
          <w:numId w:val="12"/>
        </w:numPr>
        <w:spacing w:after="0"/>
        <w:contextualSpacing/>
        <w:rPr>
          <w:rFonts w:eastAsia="Times New Roman"/>
          <w:sz w:val="24"/>
        </w:rPr>
      </w:pPr>
      <w:r>
        <w:rPr>
          <w:rFonts w:eastAsia="Times New Roman"/>
          <w:sz w:val="24"/>
        </w:rPr>
        <w:t>Generate</w:t>
      </w:r>
    </w:p>
    <w:p w14:paraId="499E6ADE" w14:textId="77777777" w:rsidR="00C0005E" w:rsidRDefault="00C0005E" w:rsidP="00C0005E">
      <w:pPr>
        <w:ind w:left="-720" w:right="-810"/>
        <w:rPr>
          <w:rFonts w:eastAsia="Times New Roman"/>
          <w:sz w:val="24"/>
        </w:rPr>
      </w:pPr>
    </w:p>
    <w:p w14:paraId="5D76946C" w14:textId="77777777" w:rsidR="00C0005E" w:rsidRDefault="00C0005E" w:rsidP="00C0005E">
      <w:pPr>
        <w:spacing w:after="160" w:line="259" w:lineRule="auto"/>
        <w:rPr>
          <w:rFonts w:ascii="Calibri" w:eastAsia="Calibri" w:hAnsi="Calibri" w:cs="Calibri"/>
          <w:b/>
          <w:sz w:val="24"/>
        </w:rPr>
      </w:pPr>
      <w:r>
        <w:rPr>
          <w:rFonts w:ascii="Calibri" w:eastAsia="Calibri" w:hAnsi="Calibri" w:cs="Calibri"/>
          <w:b/>
          <w:sz w:val="24"/>
        </w:rPr>
        <w:t>Grading Scale: (As of August 11, 2015)</w:t>
      </w:r>
    </w:p>
    <w:tbl>
      <w:tblPr>
        <w:tblW w:w="5480" w:type="dxa"/>
        <w:tblInd w:w="93" w:type="dxa"/>
        <w:tblLayout w:type="fixed"/>
        <w:tblLook w:val="0400" w:firstRow="0" w:lastRow="0" w:firstColumn="0" w:lastColumn="0" w:noHBand="0" w:noVBand="1"/>
      </w:tblPr>
      <w:tblGrid>
        <w:gridCol w:w="1584"/>
        <w:gridCol w:w="848"/>
        <w:gridCol w:w="1244"/>
        <w:gridCol w:w="998"/>
        <w:gridCol w:w="806"/>
      </w:tblGrid>
      <w:tr w:rsidR="00C0005E" w14:paraId="206F3FA0" w14:textId="77777777" w:rsidTr="007F3C8F">
        <w:trPr>
          <w:trHeight w:val="300"/>
        </w:trPr>
        <w:tc>
          <w:tcPr>
            <w:tcW w:w="548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2928E1E8" w14:textId="77777777" w:rsidR="00C0005E" w:rsidRDefault="00C0005E" w:rsidP="007F3C8F">
            <w:pPr>
              <w:spacing w:after="160" w:line="259" w:lineRule="auto"/>
              <w:rPr>
                <w:rFonts w:ascii="Calibri" w:eastAsia="Calibri" w:hAnsi="Calibri" w:cs="Calibri"/>
                <w:b/>
                <w:sz w:val="24"/>
              </w:rPr>
            </w:pPr>
            <w:r>
              <w:rPr>
                <w:rFonts w:ascii="Calibri" w:eastAsia="Calibri" w:hAnsi="Calibri" w:cs="Calibri"/>
                <w:b/>
                <w:sz w:val="24"/>
              </w:rPr>
              <w:t>Report Card Grades Marks</w:t>
            </w:r>
          </w:p>
        </w:tc>
      </w:tr>
      <w:tr w:rsidR="00C0005E" w14:paraId="6917A596"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6E89565"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Range</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3B82D58"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Grade</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BB040CA"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Standard</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3B26B96"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Honors</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ED62A0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AP/IB</w:t>
            </w:r>
          </w:p>
        </w:tc>
      </w:tr>
      <w:tr w:rsidR="00C0005E" w14:paraId="3741DBFD"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B38512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97-100</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A8ECB1E"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A+</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3131856"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4</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E997E4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5</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18F0866"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5.5</w:t>
            </w:r>
          </w:p>
        </w:tc>
      </w:tr>
      <w:tr w:rsidR="00C0005E" w14:paraId="57EE0203"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4A155D1"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93-96</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C663C1E"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A</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91D3B38"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4</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175919C"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5</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65FE556"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5.5</w:t>
            </w:r>
          </w:p>
        </w:tc>
      </w:tr>
      <w:tr w:rsidR="00C0005E" w14:paraId="2C5F5B4B"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0D00AF9"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90-92</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841E327"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A-</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2B409D7"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4</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FEA3933"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5</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7A126EE"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5.5</w:t>
            </w:r>
          </w:p>
        </w:tc>
      </w:tr>
      <w:tr w:rsidR="00C0005E" w14:paraId="43BBB473"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13E1620"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87-89</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5E3A736"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B+</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9929770"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3</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7C86ED6"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4</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F510F10"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4.5</w:t>
            </w:r>
          </w:p>
        </w:tc>
      </w:tr>
      <w:tr w:rsidR="00C0005E" w14:paraId="39042E43"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3067F3D"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83-86</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B4C0A5E"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B</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F36B5B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3</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0E68AE4"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4</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76B435E"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4.5</w:t>
            </w:r>
          </w:p>
        </w:tc>
      </w:tr>
      <w:tr w:rsidR="00C0005E" w14:paraId="0EE92443"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06F9442"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80-82</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397929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B-</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8DFE3B4"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3</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02F4E59"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4</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1DDA3FE"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4.5</w:t>
            </w:r>
          </w:p>
        </w:tc>
      </w:tr>
      <w:tr w:rsidR="00C0005E" w14:paraId="0CFA3A70"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120E1C7"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77-79</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582550E"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C+</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405B1AE"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2</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97E57E0"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3</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EFDE300"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3.5</w:t>
            </w:r>
          </w:p>
        </w:tc>
      </w:tr>
      <w:tr w:rsidR="00C0005E" w14:paraId="6B02DAED" w14:textId="77777777" w:rsidTr="007F3C8F">
        <w:trPr>
          <w:trHeight w:val="300"/>
        </w:trPr>
        <w:tc>
          <w:tcPr>
            <w:tcW w:w="1584" w:type="dxa"/>
            <w:tcBorders>
              <w:top w:val="nil"/>
              <w:left w:val="single" w:sz="8" w:space="0" w:color="000000"/>
              <w:bottom w:val="nil"/>
              <w:right w:val="single" w:sz="8" w:space="0" w:color="000000"/>
            </w:tcBorders>
            <w:tcMar>
              <w:top w:w="0" w:type="dxa"/>
              <w:left w:w="108" w:type="dxa"/>
              <w:bottom w:w="0" w:type="dxa"/>
              <w:right w:w="108" w:type="dxa"/>
            </w:tcMar>
            <w:vAlign w:val="bottom"/>
          </w:tcPr>
          <w:p w14:paraId="76A0A071"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73-76</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B381361"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C</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14C1B54"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2</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FC103A3"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3</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AB55ECF"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3.5</w:t>
            </w:r>
          </w:p>
        </w:tc>
      </w:tr>
      <w:tr w:rsidR="00C0005E" w14:paraId="5267A333" w14:textId="77777777" w:rsidTr="007F3C8F">
        <w:trPr>
          <w:trHeight w:val="300"/>
        </w:trPr>
        <w:tc>
          <w:tcPr>
            <w:tcW w:w="1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6795AAFC"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70-72</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3CD6D2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C-</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AE212D8"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2</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DF9A4A3"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3</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D2DD596"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3.5</w:t>
            </w:r>
          </w:p>
        </w:tc>
      </w:tr>
      <w:tr w:rsidR="00C0005E" w14:paraId="16207860"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CECAED8"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67-69</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EFC9412"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D+</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AC95D44"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1</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A0BD4A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2</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2EA6B3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2.5</w:t>
            </w:r>
          </w:p>
        </w:tc>
      </w:tr>
      <w:tr w:rsidR="00C0005E" w14:paraId="2E552E37"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6B6A85A"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64-66</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8658EB6"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D</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B20CC6F"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1</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44FA2E1"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2</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E286270"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2.5</w:t>
            </w:r>
          </w:p>
        </w:tc>
      </w:tr>
      <w:tr w:rsidR="00C0005E" w14:paraId="24FB43EE"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4DAD16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60-62</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9A0BCC1"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D-</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6760B83"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1</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9A45A6F"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2</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12E36D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2.5</w:t>
            </w:r>
          </w:p>
        </w:tc>
      </w:tr>
      <w:tr w:rsidR="00C0005E" w14:paraId="45134802" w14:textId="77777777" w:rsidTr="007F3C8F">
        <w:trPr>
          <w:trHeight w:val="300"/>
        </w:trPr>
        <w:tc>
          <w:tcPr>
            <w:tcW w:w="15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669C92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59 or below</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35749F1"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F</w:t>
            </w:r>
          </w:p>
        </w:tc>
        <w:tc>
          <w:tcPr>
            <w:tcW w:w="124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6BC7BCB"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0</w:t>
            </w:r>
          </w:p>
        </w:tc>
        <w:tc>
          <w:tcPr>
            <w:tcW w:w="99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7E5DB08"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0</w:t>
            </w:r>
          </w:p>
        </w:tc>
        <w:tc>
          <w:tcPr>
            <w:tcW w:w="80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810BC44" w14:textId="77777777" w:rsidR="00C0005E" w:rsidRDefault="00C0005E" w:rsidP="007F3C8F">
            <w:pPr>
              <w:spacing w:after="160" w:line="259" w:lineRule="auto"/>
              <w:rPr>
                <w:rFonts w:ascii="Calibri" w:eastAsia="Calibri" w:hAnsi="Calibri" w:cs="Calibri"/>
                <w:sz w:val="24"/>
              </w:rPr>
            </w:pPr>
            <w:r>
              <w:rPr>
                <w:rFonts w:ascii="Calibri" w:eastAsia="Calibri" w:hAnsi="Calibri" w:cs="Calibri"/>
                <w:sz w:val="24"/>
              </w:rPr>
              <w:t>0</w:t>
            </w:r>
          </w:p>
        </w:tc>
      </w:tr>
    </w:tbl>
    <w:p w14:paraId="174E3475" w14:textId="77777777" w:rsidR="00C0005E" w:rsidRDefault="00C0005E" w:rsidP="00C0005E">
      <w:pPr>
        <w:spacing w:after="0"/>
        <w:outlineLvl w:val="0"/>
        <w:rPr>
          <w:rFonts w:asciiTheme="minorHAnsi" w:hAnsiTheme="minorHAnsi" w:cstheme="minorHAnsi"/>
          <w:b/>
          <w:bCs/>
          <w:kern w:val="36"/>
          <w:szCs w:val="22"/>
        </w:rPr>
      </w:pPr>
    </w:p>
    <w:sectPr w:rsidR="00C0005E" w:rsidSect="00A940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66997" w14:textId="77777777" w:rsidR="00DF056A" w:rsidRDefault="00DF056A" w:rsidP="0053028C">
      <w:r>
        <w:separator/>
      </w:r>
    </w:p>
  </w:endnote>
  <w:endnote w:type="continuationSeparator" w:id="0">
    <w:p w14:paraId="5AE8D268" w14:textId="77777777" w:rsidR="00DF056A" w:rsidRDefault="00DF056A" w:rsidP="0053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Merriweather">
    <w:altName w:val="Calibri"/>
    <w:panose1 w:val="020B0604020202020204"/>
    <w:charset w:val="00"/>
    <w:family w:val="auto"/>
    <w:pitch w:val="default"/>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585F6" w14:textId="77777777" w:rsidR="00DF056A" w:rsidRDefault="00DF056A" w:rsidP="0053028C">
      <w:r>
        <w:separator/>
      </w:r>
    </w:p>
  </w:footnote>
  <w:footnote w:type="continuationSeparator" w:id="0">
    <w:p w14:paraId="5041BC1E" w14:textId="77777777" w:rsidR="00DF056A" w:rsidRDefault="00DF056A" w:rsidP="0053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445C" w14:textId="03A3A891" w:rsidR="0053028C" w:rsidRDefault="00DF056A" w:rsidP="0053028C">
    <w:pPr>
      <w:pBdr>
        <w:bottom w:val="single" w:sz="12" w:space="2" w:color="auto"/>
      </w:pBdr>
      <w:jc w:val="center"/>
      <w:rPr>
        <w:rFonts w:cs="Arial"/>
        <w:b/>
        <w:sz w:val="32"/>
        <w:szCs w:val="32"/>
      </w:rPr>
    </w:pPr>
    <w:r>
      <w:rPr>
        <w:noProof/>
      </w:rPr>
      <w:pict w14:anchorId="2E260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50" type="#_x0000_t75" alt="" style="position:absolute;left:0;text-align:left;margin-left:407.05pt;margin-top:-22.95pt;width:91pt;height:67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Pr>
        <w:noProof/>
      </w:rPr>
      <w:pict w14:anchorId="28DF3C99">
        <v:shape id="Picture 3" o:spid="_x0000_s2049" type="#_x0000_t75" alt="" style="position:absolute;left:0;text-align:left;margin-left:-52.75pt;margin-top:-24.95pt;width:117.75pt;height:69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r w:rsidR="0053028C">
      <w:rPr>
        <w:rFonts w:cs="Arial"/>
        <w:b/>
        <w:sz w:val="32"/>
        <w:szCs w:val="32"/>
      </w:rPr>
      <w:t xml:space="preserve">Academy for College and Career Exploration          </w:t>
    </w:r>
  </w:p>
  <w:p w14:paraId="60067BD0" w14:textId="6A868C47" w:rsidR="0053028C" w:rsidRPr="00A94099" w:rsidRDefault="0053028C" w:rsidP="00A94099">
    <w:pPr>
      <w:rPr>
        <w:b/>
        <w:i/>
        <w:sz w:val="28"/>
        <w:szCs w:val="28"/>
      </w:rPr>
    </w:pPr>
    <w:r>
      <w:rPr>
        <w:b/>
        <w:i/>
        <w:sz w:val="28"/>
        <w:szCs w:val="28"/>
      </w:rPr>
      <w:t xml:space="preserve">                       </w:t>
    </w:r>
    <w:r w:rsidRPr="004574B5">
      <w:rPr>
        <w:i/>
        <w:sz w:val="16"/>
        <w:szCs w:val="16"/>
      </w:rPr>
      <w:t xml:space="preserve">    1300 W. 36</w:t>
    </w:r>
    <w:r w:rsidRPr="004574B5">
      <w:rPr>
        <w:i/>
        <w:sz w:val="16"/>
        <w:szCs w:val="16"/>
        <w:vertAlign w:val="superscript"/>
      </w:rPr>
      <w:t>th</w:t>
    </w:r>
    <w:r w:rsidRPr="004574B5">
      <w:rPr>
        <w:i/>
        <w:sz w:val="16"/>
        <w:szCs w:val="16"/>
      </w:rPr>
      <w:t xml:space="preserve"> St</w:t>
    </w:r>
    <w:r w:rsidRPr="004574B5">
      <w:rPr>
        <w:rFonts w:ascii="Agency FB" w:hAnsi="Agency FB"/>
        <w:i/>
        <w:sz w:val="16"/>
        <w:szCs w:val="16"/>
      </w:rPr>
      <w:t xml:space="preserve"> ~ </w:t>
    </w:r>
    <w:r w:rsidRPr="004574B5">
      <w:rPr>
        <w:i/>
        <w:sz w:val="16"/>
        <w:szCs w:val="16"/>
      </w:rPr>
      <w:t xml:space="preserve">Baltimore, Maryland 21211 </w:t>
    </w:r>
    <w:r w:rsidRPr="004574B5">
      <w:rPr>
        <w:rFonts w:ascii="Agency FB" w:hAnsi="Agency FB"/>
        <w:i/>
        <w:sz w:val="16"/>
        <w:szCs w:val="16"/>
      </w:rPr>
      <w:t xml:space="preserve">~ </w:t>
    </w:r>
    <w:r w:rsidRPr="004574B5">
      <w:rPr>
        <w:i/>
        <w:sz w:val="16"/>
        <w:szCs w:val="16"/>
      </w:rPr>
      <w:t>Phone: (410) 396-</w:t>
    </w:r>
    <w:proofErr w:type="gramStart"/>
    <w:r w:rsidRPr="004574B5">
      <w:rPr>
        <w:i/>
        <w:sz w:val="16"/>
        <w:szCs w:val="16"/>
      </w:rPr>
      <w:t>7607  ~</w:t>
    </w:r>
    <w:proofErr w:type="gramEnd"/>
    <w:r w:rsidRPr="004574B5">
      <w:rPr>
        <w:i/>
        <w:sz w:val="16"/>
        <w:szCs w:val="16"/>
      </w:rPr>
      <w:t xml:space="preserve"> Fax: (410) 243-0539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13"/>
    <w:multiLevelType w:val="hybridMultilevel"/>
    <w:tmpl w:val="F5B4A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52F24"/>
    <w:multiLevelType w:val="multilevel"/>
    <w:tmpl w:val="4CB4E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545B2"/>
    <w:multiLevelType w:val="multilevel"/>
    <w:tmpl w:val="9A6A78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eastAsia="Times New Roman" w:hAnsi="Times New Roman"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D64CE6"/>
    <w:multiLevelType w:val="hybridMultilevel"/>
    <w:tmpl w:val="ABD6C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D60BAF"/>
    <w:multiLevelType w:val="hybridMultilevel"/>
    <w:tmpl w:val="B54C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F5AF7"/>
    <w:multiLevelType w:val="multilevel"/>
    <w:tmpl w:val="E5AA3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4A06E8"/>
    <w:multiLevelType w:val="hybridMultilevel"/>
    <w:tmpl w:val="35AA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20A0D"/>
    <w:multiLevelType w:val="hybridMultilevel"/>
    <w:tmpl w:val="712C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260D4"/>
    <w:multiLevelType w:val="hybridMultilevel"/>
    <w:tmpl w:val="DD000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A03D59"/>
    <w:multiLevelType w:val="multilevel"/>
    <w:tmpl w:val="7752F5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2DF438C"/>
    <w:multiLevelType w:val="hybridMultilevel"/>
    <w:tmpl w:val="40F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77D37"/>
    <w:multiLevelType w:val="multilevel"/>
    <w:tmpl w:val="EB7E04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53656C"/>
    <w:multiLevelType w:val="multilevel"/>
    <w:tmpl w:val="733E7616"/>
    <w:lvl w:ilvl="0">
      <w:start w:val="1"/>
      <w:numFmt w:val="decimal"/>
      <w:lvlText w:val="%1."/>
      <w:lvlJc w:val="left"/>
      <w:pPr>
        <w:ind w:left="720" w:hanging="360"/>
      </w:pPr>
      <w:rPr>
        <w:rFonts w:ascii="Arial" w:eastAsia="Arial" w:hAnsi="Arial" w:cs="Arial"/>
        <w:color w:val="231F20"/>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3D15D6F"/>
    <w:multiLevelType w:val="hybridMultilevel"/>
    <w:tmpl w:val="7BD87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9B20BB"/>
    <w:multiLevelType w:val="multilevel"/>
    <w:tmpl w:val="BA24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6"/>
  </w:num>
  <w:num w:numId="4">
    <w:abstractNumId w:val="0"/>
  </w:num>
  <w:num w:numId="5">
    <w:abstractNumId w:val="13"/>
  </w:num>
  <w:num w:numId="6">
    <w:abstractNumId w:val="8"/>
  </w:num>
  <w:num w:numId="7">
    <w:abstractNumId w:val="3"/>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4"/>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3028C"/>
    <w:rsid w:val="00014D62"/>
    <w:rsid w:val="00062729"/>
    <w:rsid w:val="00120D6B"/>
    <w:rsid w:val="001634DF"/>
    <w:rsid w:val="00265DC6"/>
    <w:rsid w:val="0027367E"/>
    <w:rsid w:val="00365B35"/>
    <w:rsid w:val="003A69A2"/>
    <w:rsid w:val="003E248B"/>
    <w:rsid w:val="0044265D"/>
    <w:rsid w:val="004574B5"/>
    <w:rsid w:val="004F7EB8"/>
    <w:rsid w:val="0053028C"/>
    <w:rsid w:val="005A7240"/>
    <w:rsid w:val="005B2D34"/>
    <w:rsid w:val="00600476"/>
    <w:rsid w:val="00647A2E"/>
    <w:rsid w:val="00676402"/>
    <w:rsid w:val="00813AC7"/>
    <w:rsid w:val="00820536"/>
    <w:rsid w:val="0088718D"/>
    <w:rsid w:val="00972D1F"/>
    <w:rsid w:val="00A93DAB"/>
    <w:rsid w:val="00A94099"/>
    <w:rsid w:val="00BD50F5"/>
    <w:rsid w:val="00C0005E"/>
    <w:rsid w:val="00C7711D"/>
    <w:rsid w:val="00D40E86"/>
    <w:rsid w:val="00D76DD4"/>
    <w:rsid w:val="00DF056A"/>
    <w:rsid w:val="00FA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009B00"/>
  <w15:chartTrackingRefBased/>
  <w15:docId w15:val="{1D7D41A3-5840-AD43-8A8B-798CBA3A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99"/>
    <w:pPr>
      <w:spacing w:after="200" w:line="276" w:lineRule="auto"/>
    </w:pPr>
    <w:rPr>
      <w:rFonts w:ascii="Times New Roman" w:eastAsia="ヒラギノ角ゴ Pro W3" w:hAnsi="Times New Roman"/>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28C"/>
    <w:pPr>
      <w:tabs>
        <w:tab w:val="center" w:pos="4680"/>
        <w:tab w:val="right" w:pos="9360"/>
      </w:tabs>
    </w:pPr>
  </w:style>
  <w:style w:type="character" w:customStyle="1" w:styleId="HeaderChar">
    <w:name w:val="Header Char"/>
    <w:basedOn w:val="DefaultParagraphFont"/>
    <w:link w:val="Header"/>
    <w:uiPriority w:val="99"/>
    <w:rsid w:val="0053028C"/>
  </w:style>
  <w:style w:type="paragraph" w:styleId="Footer">
    <w:name w:val="footer"/>
    <w:basedOn w:val="Normal"/>
    <w:link w:val="FooterChar"/>
    <w:uiPriority w:val="99"/>
    <w:unhideWhenUsed/>
    <w:rsid w:val="0053028C"/>
    <w:pPr>
      <w:tabs>
        <w:tab w:val="center" w:pos="4680"/>
        <w:tab w:val="right" w:pos="9360"/>
      </w:tabs>
    </w:pPr>
  </w:style>
  <w:style w:type="character" w:customStyle="1" w:styleId="FooterChar">
    <w:name w:val="Footer Char"/>
    <w:basedOn w:val="DefaultParagraphFont"/>
    <w:link w:val="Footer"/>
    <w:uiPriority w:val="99"/>
    <w:rsid w:val="0053028C"/>
  </w:style>
  <w:style w:type="paragraph" w:styleId="ListParagraph">
    <w:name w:val="List Paragraph"/>
    <w:basedOn w:val="Normal"/>
    <w:uiPriority w:val="34"/>
    <w:qFormat/>
    <w:rsid w:val="00A94099"/>
    <w:pPr>
      <w:ind w:left="720"/>
      <w:contextualSpacing/>
    </w:pPr>
    <w:rPr>
      <w:rFonts w:ascii="Calibri" w:eastAsia="Calibri" w:hAnsi="Calibri"/>
      <w:color w:val="auto"/>
      <w:szCs w:val="22"/>
    </w:rPr>
  </w:style>
  <w:style w:type="table" w:styleId="TableGrid">
    <w:name w:val="Table Grid"/>
    <w:basedOn w:val="TableNormal"/>
    <w:uiPriority w:val="59"/>
    <w:rsid w:val="00A9409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813AC7"/>
    <w:pPr>
      <w:spacing w:before="100" w:beforeAutospacing="1" w:after="100" w:afterAutospacing="1" w:line="240" w:lineRule="auto"/>
    </w:pPr>
    <w:rPr>
      <w:rFonts w:eastAsia="Times New Roman"/>
      <w:color w:val="auto"/>
      <w:sz w:val="24"/>
    </w:rPr>
  </w:style>
  <w:style w:type="paragraph" w:customStyle="1" w:styleId="Pa8">
    <w:name w:val="Pa8"/>
    <w:basedOn w:val="Normal"/>
    <w:next w:val="Normal"/>
    <w:uiPriority w:val="99"/>
    <w:rsid w:val="00D40E86"/>
    <w:pPr>
      <w:autoSpaceDE w:val="0"/>
      <w:autoSpaceDN w:val="0"/>
      <w:adjustRightInd w:val="0"/>
      <w:spacing w:after="0" w:line="201" w:lineRule="atLeast"/>
    </w:pPr>
    <w:rPr>
      <w:rFonts w:eastAsiaTheme="minorHAnsi"/>
      <w:color w:val="auto"/>
      <w:sz w:val="24"/>
    </w:rPr>
  </w:style>
  <w:style w:type="character" w:customStyle="1" w:styleId="A1">
    <w:name w:val="A1"/>
    <w:uiPriority w:val="99"/>
    <w:rsid w:val="00D40E86"/>
    <w:rPr>
      <w:color w:val="000000"/>
      <w:sz w:val="22"/>
      <w:szCs w:val="22"/>
    </w:rPr>
  </w:style>
  <w:style w:type="character" w:styleId="Hyperlink">
    <w:name w:val="Hyperlink"/>
    <w:basedOn w:val="DefaultParagraphFont"/>
    <w:uiPriority w:val="99"/>
    <w:unhideWhenUsed/>
    <w:rsid w:val="003E248B"/>
    <w:rPr>
      <w:color w:val="0563C1" w:themeColor="hyperlink"/>
      <w:u w:val="single"/>
    </w:rPr>
  </w:style>
  <w:style w:type="character" w:styleId="UnresolvedMention">
    <w:name w:val="Unresolved Mention"/>
    <w:basedOn w:val="DefaultParagraphFont"/>
    <w:uiPriority w:val="99"/>
    <w:semiHidden/>
    <w:unhideWhenUsed/>
    <w:rsid w:val="003E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5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NlSTkg-MrFsPnbdo6CkENIX9ufgpYxoWNvRXSLOrKk/edit" TargetMode="External"/><Relationship Id="rId3" Type="http://schemas.openxmlformats.org/officeDocument/2006/relationships/settings" Target="settings.xml"/><Relationship Id="rId7" Type="http://schemas.openxmlformats.org/officeDocument/2006/relationships/hyperlink" Target="https://docs.google.com/document/d/1SSOiJUpqvbUxWuHzLOZOFaxo57UYJlL9dIVU4p-1sYY/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Doctorick, Nicole A.</dc:creator>
  <cp:keywords/>
  <dc:description/>
  <cp:lastModifiedBy>DAmbrosio, Nicholas</cp:lastModifiedBy>
  <cp:revision>2</cp:revision>
  <cp:lastPrinted>2019-08-16T17:33:00Z</cp:lastPrinted>
  <dcterms:created xsi:type="dcterms:W3CDTF">2020-11-30T19:26:00Z</dcterms:created>
  <dcterms:modified xsi:type="dcterms:W3CDTF">2020-11-30T19:26:00Z</dcterms:modified>
</cp:coreProperties>
</file>